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3937" w14:textId="77777777" w:rsidR="00C14D17" w:rsidRDefault="00C14D17" w:rsidP="00A17B13">
      <w:pPr>
        <w:spacing w:after="120" w:line="360" w:lineRule="auto"/>
        <w:jc w:val="both"/>
        <w:rPr>
          <w:b/>
          <w:bCs/>
          <w:u w:val="single"/>
        </w:rPr>
      </w:pPr>
    </w:p>
    <w:p w14:paraId="5F021F61" w14:textId="77777777" w:rsidR="00C14D17" w:rsidRDefault="00C14D17" w:rsidP="00A17B13">
      <w:pPr>
        <w:spacing w:after="120" w:line="360" w:lineRule="auto"/>
        <w:jc w:val="both"/>
        <w:rPr>
          <w:b/>
          <w:bCs/>
          <w:u w:val="single"/>
        </w:rPr>
      </w:pPr>
    </w:p>
    <w:p w14:paraId="533031AC" w14:textId="77777777" w:rsidR="00C14D17" w:rsidRDefault="00C14D17" w:rsidP="00A17B13">
      <w:pPr>
        <w:spacing w:after="120" w:line="360" w:lineRule="auto"/>
        <w:jc w:val="both"/>
        <w:rPr>
          <w:b/>
          <w:bCs/>
          <w:u w:val="single"/>
        </w:rPr>
      </w:pPr>
    </w:p>
    <w:p w14:paraId="09FBE45C" w14:textId="7770BF7A" w:rsidR="00A17B13" w:rsidRDefault="00A17B13" w:rsidP="00A17B13">
      <w:pPr>
        <w:spacing w:after="120" w:line="360" w:lineRule="auto"/>
        <w:jc w:val="both"/>
      </w:pPr>
      <w:r>
        <w:rPr>
          <w:b/>
          <w:bCs/>
          <w:u w:val="single"/>
        </w:rPr>
        <w:t>FECHA:</w:t>
      </w:r>
      <w:r>
        <w:t xml:space="preserve"> </w:t>
      </w:r>
    </w:p>
    <w:p w14:paraId="1F74637B" w14:textId="3B6E9857" w:rsidR="00A17B13" w:rsidRDefault="00A17B13" w:rsidP="00A17B13">
      <w:pPr>
        <w:spacing w:after="120" w:line="360" w:lineRule="auto"/>
        <w:jc w:val="both"/>
      </w:pPr>
      <w:r>
        <w:rPr>
          <w:b/>
          <w:bCs/>
          <w:u w:val="single"/>
        </w:rPr>
        <w:t>PACIENTE:</w:t>
      </w:r>
      <w:r>
        <w:t xml:space="preserve"> </w:t>
      </w:r>
    </w:p>
    <w:p w14:paraId="4F193927" w14:textId="1CD72689" w:rsidR="00A17B13" w:rsidRDefault="00A17B13" w:rsidP="00A17B13">
      <w:pPr>
        <w:spacing w:after="120" w:line="360" w:lineRule="auto"/>
        <w:jc w:val="both"/>
      </w:pPr>
      <w:r>
        <w:rPr>
          <w:b/>
          <w:bCs/>
          <w:u w:val="single"/>
        </w:rPr>
        <w:t>EDAD:</w:t>
      </w:r>
      <w:r>
        <w:t xml:space="preserve"> </w:t>
      </w:r>
    </w:p>
    <w:p w14:paraId="15B27459" w14:textId="04EE22F3" w:rsidR="00A17B13" w:rsidRDefault="00A17B13" w:rsidP="00A17B13">
      <w:pPr>
        <w:spacing w:after="120" w:line="360" w:lineRule="auto"/>
        <w:jc w:val="both"/>
      </w:pPr>
      <w:r>
        <w:rPr>
          <w:b/>
          <w:bCs/>
          <w:u w:val="single"/>
        </w:rPr>
        <w:t>DNI:</w:t>
      </w:r>
      <w:r>
        <w:t xml:space="preserve"> </w:t>
      </w:r>
    </w:p>
    <w:p w14:paraId="7A263260" w14:textId="77777777" w:rsidR="00A17B13" w:rsidRDefault="00A17B13" w:rsidP="00A17B13">
      <w:pPr>
        <w:spacing w:after="120" w:line="360" w:lineRule="auto"/>
        <w:jc w:val="both"/>
      </w:pPr>
      <w:r>
        <w:rPr>
          <w:b/>
          <w:bCs/>
          <w:u w:val="single"/>
        </w:rPr>
        <w:t>MOTIVO DE CONSULTA:</w:t>
      </w:r>
      <w:r>
        <w:t xml:space="preserve"> Solicitud de información “vacunas” COV19.</w:t>
      </w:r>
    </w:p>
    <w:p w14:paraId="266787FC" w14:textId="77777777" w:rsidR="00A17B13" w:rsidRDefault="00A17B13" w:rsidP="00A17B13">
      <w:pPr>
        <w:spacing w:after="120" w:line="360" w:lineRule="auto"/>
        <w:jc w:val="both"/>
        <w:rPr>
          <w:bCs/>
        </w:rPr>
      </w:pPr>
      <w:r>
        <w:rPr>
          <w:bCs/>
        </w:rPr>
        <w:t xml:space="preserve">En relación con los </w:t>
      </w:r>
      <w:r w:rsidRPr="0016360C">
        <w:rPr>
          <w:b/>
        </w:rPr>
        <w:t>compuestos génicos experimentales</w:t>
      </w:r>
      <w:r>
        <w:rPr>
          <w:bCs/>
        </w:rPr>
        <w:t xml:space="preserve"> (mal llamados “vacuna”) propuestos para covid19, es necesario considerar los siguientes aspectos: (a) No son de aplicación obligatoria, (b) Son </w:t>
      </w:r>
      <w:r>
        <w:rPr>
          <w:b/>
          <w:bCs/>
        </w:rPr>
        <w:t xml:space="preserve">experimentales </w:t>
      </w:r>
      <w:r>
        <w:rPr>
          <w:bCs/>
        </w:rPr>
        <w:t xml:space="preserve">(1), (c) </w:t>
      </w:r>
      <w:r>
        <w:rPr>
          <w:b/>
          <w:bCs/>
        </w:rPr>
        <w:t>Se desconoce su contenido</w:t>
      </w:r>
      <w:r>
        <w:rPr>
          <w:bCs/>
        </w:rPr>
        <w:t xml:space="preserve"> (Inmunidad legal y </w:t>
      </w:r>
      <w:r>
        <w:rPr>
          <w:b/>
          <w:bCs/>
        </w:rPr>
        <w:t>confidencialidad de contenido</w:t>
      </w:r>
      <w:r>
        <w:rPr>
          <w:bCs/>
        </w:rPr>
        <w:t xml:space="preserve">), (d) Nunca se ha aprobado </w:t>
      </w:r>
      <w:r>
        <w:rPr>
          <w:b/>
          <w:bCs/>
        </w:rPr>
        <w:t>ninguna vacuna</w:t>
      </w:r>
      <w:r>
        <w:rPr>
          <w:bCs/>
        </w:rPr>
        <w:t xml:space="preserve"> contra el coronavirus porque pueden desencadenar una respuesta inmune descontrolada a través de anticuerpos “facilitadores” de una nueva y más severa infección (ADE) (2), (e) Se reportan a diario </w:t>
      </w:r>
      <w:r>
        <w:rPr>
          <w:b/>
          <w:bCs/>
        </w:rPr>
        <w:t>efectos adversos severísimos</w:t>
      </w:r>
      <w:r>
        <w:rPr>
          <w:bCs/>
        </w:rPr>
        <w:t xml:space="preserve"> e incluso muy elevado número de casos fatales, así como centenares de </w:t>
      </w:r>
      <w:r>
        <w:rPr>
          <w:b/>
          <w:bCs/>
        </w:rPr>
        <w:t>abortos</w:t>
      </w:r>
      <w:r>
        <w:rPr>
          <w:bCs/>
        </w:rPr>
        <w:t xml:space="preserve"> en gestantes inoculadas, también se observa y </w:t>
      </w:r>
      <w:r>
        <w:rPr>
          <w:b/>
          <w:bCs/>
        </w:rPr>
        <w:t>constata</w:t>
      </w:r>
      <w:r>
        <w:rPr>
          <w:bCs/>
        </w:rPr>
        <w:t xml:space="preserve"> un fenómeno de “magnetismo” en individuos inoculados (3), (f) </w:t>
      </w:r>
      <w:r>
        <w:rPr>
          <w:b/>
          <w:bCs/>
        </w:rPr>
        <w:t>No han demostrado eficacia</w:t>
      </w:r>
      <w:r>
        <w:rPr>
          <w:bCs/>
        </w:rPr>
        <w:t xml:space="preserve"> según los datos disponibles al momento (4), (g) resultan </w:t>
      </w:r>
      <w:r>
        <w:rPr>
          <w:b/>
          <w:bCs/>
        </w:rPr>
        <w:t>innecesarias</w:t>
      </w:r>
      <w:r>
        <w:rPr>
          <w:bCs/>
        </w:rPr>
        <w:t xml:space="preserve"> dado que </w:t>
      </w:r>
      <w:r>
        <w:rPr>
          <w:b/>
          <w:bCs/>
        </w:rPr>
        <w:t xml:space="preserve">se ha observado la presencia de inmunidad natural en individuos sanos no expuestos </w:t>
      </w:r>
      <w:r>
        <w:rPr>
          <w:bCs/>
        </w:rPr>
        <w:t>(5)</w:t>
      </w:r>
    </w:p>
    <w:p w14:paraId="6CD892CE" w14:textId="77777777" w:rsidR="00A17B13" w:rsidRDefault="00A17B13" w:rsidP="00A17B13">
      <w:pPr>
        <w:spacing w:after="120" w:line="360" w:lineRule="auto"/>
        <w:jc w:val="both"/>
      </w:pPr>
      <w:r>
        <w:rPr>
          <w:bCs/>
        </w:rPr>
        <w:t>Por lo expuesto</w:t>
      </w:r>
      <w:r w:rsidRPr="004B0E5B">
        <w:rPr>
          <w:b/>
        </w:rPr>
        <w:t>, se contraindica</w:t>
      </w:r>
      <w:r>
        <w:rPr>
          <w:b/>
        </w:rPr>
        <w:t xml:space="preserve"> absolutamente</w:t>
      </w:r>
      <w:r>
        <w:rPr>
          <w:bCs/>
        </w:rPr>
        <w:t xml:space="preserve"> la vacunación con cualquier plataforma de vacuna disponible para covid19 (como mínimo hasta disponer de datos favorables en relación con la necesidad, eficacia y seguridad para la utilización de vacunas para covid19)</w:t>
      </w:r>
      <w:r>
        <w:t xml:space="preserve"> </w:t>
      </w:r>
    </w:p>
    <w:p w14:paraId="4B84D4E2" w14:textId="77777777" w:rsidR="00A17B13" w:rsidRPr="0076383C" w:rsidRDefault="00A17B13" w:rsidP="00A17B13">
      <w:pPr>
        <w:pStyle w:val="Prrafodelista"/>
        <w:numPr>
          <w:ilvl w:val="0"/>
          <w:numId w:val="1"/>
        </w:numPr>
        <w:ind w:left="567" w:hanging="436"/>
        <w:jc w:val="both"/>
        <w:rPr>
          <w:sz w:val="18"/>
          <w:szCs w:val="18"/>
          <w:lang w:val="es-AR"/>
        </w:rPr>
      </w:pPr>
      <w:r w:rsidRPr="0076383C">
        <w:rPr>
          <w:sz w:val="18"/>
          <w:szCs w:val="18"/>
        </w:rPr>
        <w:t>Fase III en curso hasta 2022-2023</w:t>
      </w:r>
    </w:p>
    <w:p w14:paraId="41E7B93E" w14:textId="77777777" w:rsidR="00A17B13" w:rsidRPr="00924892" w:rsidRDefault="00A17B13" w:rsidP="00A17B13">
      <w:pPr>
        <w:pStyle w:val="Prrafodelista"/>
        <w:numPr>
          <w:ilvl w:val="0"/>
          <w:numId w:val="1"/>
        </w:numPr>
        <w:ind w:left="567" w:hanging="436"/>
        <w:jc w:val="both"/>
        <w:rPr>
          <w:sz w:val="18"/>
          <w:szCs w:val="18"/>
          <w:lang w:val="en-US"/>
        </w:rPr>
      </w:pPr>
      <w:r w:rsidRPr="00924892">
        <w:rPr>
          <w:sz w:val="18"/>
          <w:szCs w:val="18"/>
          <w:lang w:val="en-US"/>
        </w:rPr>
        <w:t xml:space="preserve">“Informed consent disclosure to vaccine trial subjects of risk of COVID19 vaccines worsening clinical disease” (IJCP). </w:t>
      </w:r>
      <w:hyperlink r:id="rId5" w:history="1">
        <w:r w:rsidRPr="00924892">
          <w:rPr>
            <w:sz w:val="18"/>
            <w:szCs w:val="18"/>
            <w:lang w:val="en-GB"/>
          </w:rPr>
          <w:t>https://doi.org/10.1111/ijcp.13795</w:t>
        </w:r>
      </w:hyperlink>
    </w:p>
    <w:p w14:paraId="71BA62E0" w14:textId="77777777" w:rsidR="00A17B13" w:rsidRPr="00924892" w:rsidRDefault="00A17B13" w:rsidP="00A17B13">
      <w:pPr>
        <w:pStyle w:val="Prrafodelista"/>
        <w:numPr>
          <w:ilvl w:val="0"/>
          <w:numId w:val="1"/>
        </w:numPr>
        <w:ind w:left="567" w:hanging="436"/>
        <w:jc w:val="both"/>
        <w:rPr>
          <w:sz w:val="18"/>
          <w:szCs w:val="18"/>
          <w:lang w:val="en-US"/>
        </w:rPr>
      </w:pPr>
      <w:proofErr w:type="spellStart"/>
      <w:r w:rsidRPr="00924892">
        <w:rPr>
          <w:sz w:val="18"/>
          <w:szCs w:val="18"/>
          <w:lang w:val="en-US"/>
        </w:rPr>
        <w:t>Registro</w:t>
      </w:r>
      <w:proofErr w:type="spellEnd"/>
      <w:r w:rsidRPr="00924892">
        <w:rPr>
          <w:sz w:val="18"/>
          <w:szCs w:val="18"/>
          <w:lang w:val="en-US"/>
        </w:rPr>
        <w:t xml:space="preserve"> VAERS (CDC). The Vaccine Adverse Event Reporting System (VAERS) Documentation (/wonder/help/vaers.html)</w:t>
      </w:r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Registro</w:t>
      </w:r>
      <w:proofErr w:type="spellEnd"/>
      <w:r>
        <w:rPr>
          <w:sz w:val="18"/>
          <w:szCs w:val="18"/>
          <w:lang w:val="en-US"/>
        </w:rPr>
        <w:t xml:space="preserve"> EMA (</w:t>
      </w:r>
      <w:proofErr w:type="spellStart"/>
      <w:r>
        <w:rPr>
          <w:sz w:val="18"/>
          <w:szCs w:val="18"/>
          <w:lang w:val="en-US"/>
        </w:rPr>
        <w:t>Agencia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Europea</w:t>
      </w:r>
      <w:proofErr w:type="spellEnd"/>
      <w:r>
        <w:rPr>
          <w:sz w:val="18"/>
          <w:szCs w:val="18"/>
          <w:lang w:val="en-US"/>
        </w:rPr>
        <w:t xml:space="preserve"> de </w:t>
      </w:r>
      <w:proofErr w:type="spellStart"/>
      <w:r>
        <w:rPr>
          <w:sz w:val="18"/>
          <w:szCs w:val="18"/>
          <w:lang w:val="en-US"/>
        </w:rPr>
        <w:t>Medicamentos</w:t>
      </w:r>
      <w:proofErr w:type="spellEnd"/>
      <w:r>
        <w:rPr>
          <w:sz w:val="18"/>
          <w:szCs w:val="18"/>
          <w:lang w:val="en-US"/>
        </w:rPr>
        <w:t>)</w:t>
      </w:r>
    </w:p>
    <w:p w14:paraId="16702609" w14:textId="77777777" w:rsidR="00A17B13" w:rsidRPr="00924892" w:rsidRDefault="00A17B13" w:rsidP="00A17B13">
      <w:pPr>
        <w:pStyle w:val="Prrafodelista"/>
        <w:numPr>
          <w:ilvl w:val="0"/>
          <w:numId w:val="1"/>
        </w:numPr>
        <w:ind w:left="567" w:hanging="436"/>
        <w:jc w:val="both"/>
        <w:rPr>
          <w:sz w:val="18"/>
          <w:szCs w:val="18"/>
          <w:lang w:val="es-AR"/>
        </w:rPr>
      </w:pPr>
      <w:r w:rsidRPr="00924892">
        <w:rPr>
          <w:sz w:val="18"/>
          <w:szCs w:val="18"/>
          <w:lang w:val="es-AR"/>
        </w:rPr>
        <w:t xml:space="preserve">NNT=119 para Pfizer / </w:t>
      </w:r>
      <w:proofErr w:type="spellStart"/>
      <w:r w:rsidRPr="00924892">
        <w:rPr>
          <w:sz w:val="18"/>
          <w:szCs w:val="18"/>
          <w:lang w:val="es-AR"/>
        </w:rPr>
        <w:t>Biontech</w:t>
      </w:r>
      <w:proofErr w:type="spellEnd"/>
      <w:r w:rsidRPr="00924892">
        <w:rPr>
          <w:sz w:val="18"/>
          <w:szCs w:val="18"/>
          <w:lang w:val="es-AR"/>
        </w:rPr>
        <w:t>: Fuente</w:t>
      </w:r>
      <w:r>
        <w:rPr>
          <w:sz w:val="18"/>
          <w:szCs w:val="18"/>
          <w:lang w:val="es-AR"/>
        </w:rPr>
        <w:t>: https://www.ncbi.nlm.nih.gov/pmc/articles/PMC7745181/</w:t>
      </w:r>
    </w:p>
    <w:p w14:paraId="676FE815" w14:textId="77777777" w:rsidR="00A17B13" w:rsidRPr="00924892" w:rsidRDefault="00A17B13" w:rsidP="00A17B13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436"/>
        <w:jc w:val="both"/>
        <w:rPr>
          <w:sz w:val="18"/>
          <w:szCs w:val="18"/>
          <w:lang w:val="en-US"/>
        </w:rPr>
      </w:pPr>
      <w:r w:rsidRPr="00924892">
        <w:rPr>
          <w:sz w:val="18"/>
          <w:szCs w:val="18"/>
          <w:lang w:val="en-US"/>
        </w:rPr>
        <w:t>“A majority of uninfected adults show pre-existing antibody reactivity against SARS-CoV-2” (JCI Insight</w:t>
      </w:r>
      <w:proofErr w:type="gramStart"/>
      <w:r w:rsidRPr="00924892">
        <w:rPr>
          <w:sz w:val="18"/>
          <w:szCs w:val="18"/>
          <w:lang w:val="en-US"/>
        </w:rPr>
        <w:t>).https://doi.org/10.1172/jci.insight.146316</w:t>
      </w:r>
      <w:proofErr w:type="gramEnd"/>
      <w:r w:rsidRPr="00924892">
        <w:rPr>
          <w:sz w:val="18"/>
          <w:szCs w:val="18"/>
          <w:lang w:val="en-US"/>
        </w:rPr>
        <w:t>.</w:t>
      </w:r>
    </w:p>
    <w:p w14:paraId="16868247" w14:textId="77777777" w:rsidR="00A17B13" w:rsidRPr="00A17B13" w:rsidRDefault="00A17B13">
      <w:pPr>
        <w:rPr>
          <w:lang w:val="en-US"/>
        </w:rPr>
      </w:pPr>
    </w:p>
    <w:sectPr w:rsidR="00A17B13" w:rsidRPr="00A17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13B0E"/>
    <w:multiLevelType w:val="hybridMultilevel"/>
    <w:tmpl w:val="D7825564"/>
    <w:lvl w:ilvl="0" w:tplc="DB4EF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13"/>
    <w:rsid w:val="0058710C"/>
    <w:rsid w:val="00636817"/>
    <w:rsid w:val="00A17B13"/>
    <w:rsid w:val="00C1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C740"/>
  <w15:chartTrackingRefBased/>
  <w15:docId w15:val="{D8DF5947-102A-4856-BE8B-4908DCD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ijcp.1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</dc:creator>
  <cp:keywords/>
  <dc:description/>
  <cp:lastModifiedBy>Analia</cp:lastModifiedBy>
  <cp:revision>2</cp:revision>
  <dcterms:created xsi:type="dcterms:W3CDTF">2021-08-09T21:01:00Z</dcterms:created>
  <dcterms:modified xsi:type="dcterms:W3CDTF">2021-08-09T21:01:00Z</dcterms:modified>
</cp:coreProperties>
</file>